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4F0901C0" w:rsidR="00184869" w:rsidRPr="001C48F5" w:rsidRDefault="000005E5" w:rsidP="0002499F">
      <w:pPr>
        <w:jc w:val="center"/>
        <w:rPr>
          <w:rFonts w:ascii="Oswald SemiBold" w:eastAsia="Oswald SemiBold" w:hAnsi="Oswald SemiBold" w:cs="Oswald SemiBold"/>
          <w:sz w:val="28"/>
          <w:szCs w:val="28"/>
        </w:rPr>
      </w:pPr>
      <w:r>
        <w:rPr>
          <w:rFonts w:ascii="Oswald SemiBold" w:eastAsia="Oswald SemiBold" w:hAnsi="Oswald SemiBold" w:cs="Oswald SemiBold"/>
          <w:sz w:val="28"/>
          <w:szCs w:val="28"/>
        </w:rPr>
        <w:t>Divest USS Report</w:t>
      </w:r>
    </w:p>
    <w:p w14:paraId="00000003" w14:textId="44B46FB0" w:rsidR="00184869" w:rsidRDefault="000005E5" w:rsidP="0002499F">
      <w:pPr>
        <w:rPr>
          <w:i/>
          <w:color w:val="1155CC"/>
          <w:sz w:val="20"/>
          <w:szCs w:val="20"/>
          <w:u w:val="single"/>
        </w:rPr>
      </w:pPr>
      <w:r>
        <w:rPr>
          <w:i/>
          <w:sz w:val="20"/>
          <w:szCs w:val="20"/>
        </w:rPr>
        <w:t>The report,</w:t>
      </w:r>
      <w:r w:rsidR="00674FEE">
        <w:rPr>
          <w:i/>
          <w:sz w:val="20"/>
          <w:szCs w:val="20"/>
        </w:rPr>
        <w:t xml:space="preserve"> summary, investments </w:t>
      </w:r>
      <w:r>
        <w:rPr>
          <w:i/>
          <w:sz w:val="20"/>
          <w:szCs w:val="20"/>
        </w:rPr>
        <w:t>data</w:t>
      </w:r>
      <w:r w:rsidR="00674FEE">
        <w:rPr>
          <w:i/>
          <w:sz w:val="20"/>
          <w:szCs w:val="20"/>
        </w:rPr>
        <w:t>,</w:t>
      </w:r>
      <w:r>
        <w:rPr>
          <w:i/>
          <w:sz w:val="20"/>
          <w:szCs w:val="20"/>
        </w:rPr>
        <w:t xml:space="preserve"> and USS's response are all available at </w:t>
      </w:r>
      <w:hyperlink r:id="rId8">
        <w:r>
          <w:rPr>
            <w:i/>
            <w:color w:val="1155CC"/>
            <w:sz w:val="20"/>
            <w:szCs w:val="20"/>
            <w:u w:val="single"/>
          </w:rPr>
          <w:t>divestuss.org/report</w:t>
        </w:r>
      </w:hyperlink>
    </w:p>
    <w:p w14:paraId="00000004" w14:textId="77777777" w:rsidR="00184869" w:rsidRDefault="00184869" w:rsidP="0002499F">
      <w:pPr>
        <w:spacing w:line="240" w:lineRule="auto"/>
        <w:rPr>
          <w:sz w:val="20"/>
          <w:szCs w:val="20"/>
        </w:rPr>
      </w:pPr>
    </w:p>
    <w:p w14:paraId="00000005" w14:textId="77777777" w:rsidR="00184869" w:rsidRDefault="000005E5" w:rsidP="0002499F">
      <w:pPr>
        <w:rPr>
          <w:sz w:val="20"/>
          <w:szCs w:val="20"/>
        </w:rPr>
      </w:pPr>
      <w:r>
        <w:rPr>
          <w:sz w:val="20"/>
          <w:szCs w:val="20"/>
        </w:rPr>
        <w:t xml:space="preserve">Universities Superannuation Scheme (USS) is the largest private pension scheme in the UK by assets, with over £90.8 billion in assets under management as of 31 March 2022. The scheme has around 500,000 members and covers UK </w:t>
      </w:r>
      <w:proofErr w:type="gramStart"/>
      <w:r>
        <w:rPr>
          <w:sz w:val="20"/>
          <w:szCs w:val="20"/>
        </w:rPr>
        <w:t>university</w:t>
      </w:r>
      <w:proofErr w:type="gramEnd"/>
      <w:r>
        <w:rPr>
          <w:sz w:val="20"/>
          <w:szCs w:val="20"/>
        </w:rPr>
        <w:t xml:space="preserve"> and higher education staff. </w:t>
      </w:r>
    </w:p>
    <w:p w14:paraId="00000006" w14:textId="77777777" w:rsidR="00184869" w:rsidRDefault="00184869" w:rsidP="0002499F">
      <w:pPr>
        <w:spacing w:line="240" w:lineRule="auto"/>
        <w:rPr>
          <w:sz w:val="20"/>
          <w:szCs w:val="20"/>
        </w:rPr>
      </w:pPr>
    </w:p>
    <w:p w14:paraId="00000007" w14:textId="39AE8D5C" w:rsidR="00184869" w:rsidRPr="00674FEE" w:rsidRDefault="000005E5" w:rsidP="0002499F">
      <w:r>
        <w:rPr>
          <w:sz w:val="20"/>
          <w:szCs w:val="20"/>
        </w:rPr>
        <w:t xml:space="preserve">The new report by Divest USS, a group of USS members, details how USS retains large investments in the fossil fuel industry responsible for driving the climate crisis: USS’s holdings include 48 leading fossil fuel companies, while their top 100 holdings include over £570m in the industry. The report has detailed recommendations on how to end USS’s contribution to the companies driving the climate emergency, including immediately halting the purchase of bonds from those companies and supporting banks that finance companies engaged in exploring for, and exploiting, new fossil fuel reserves. </w:t>
      </w:r>
      <w:r w:rsidR="00674FEE" w:rsidRPr="00674FEE">
        <w:rPr>
          <w:sz w:val="20"/>
          <w:szCs w:val="20"/>
        </w:rPr>
        <w:t>USS's claims to be engaging with the fossil fuel industry don't hold water</w:t>
      </w:r>
      <w:r>
        <w:rPr>
          <w:sz w:val="20"/>
          <w:szCs w:val="20"/>
        </w:rPr>
        <w:t xml:space="preserve">, </w:t>
      </w:r>
      <w:r w:rsidR="00674FEE" w:rsidRPr="00674FEE">
        <w:rPr>
          <w:sz w:val="20"/>
          <w:szCs w:val="20"/>
        </w:rPr>
        <w:t>they vote to support company bosses at AGMs</w:t>
      </w:r>
      <w:r w:rsidR="007E6246">
        <w:rPr>
          <w:sz w:val="20"/>
          <w:szCs w:val="20"/>
        </w:rPr>
        <w:t xml:space="preserve"> -</w:t>
      </w:r>
      <w:r w:rsidR="00674FEE" w:rsidRPr="00674FEE">
        <w:rPr>
          <w:sz w:val="20"/>
          <w:szCs w:val="20"/>
        </w:rPr>
        <w:t xml:space="preserve"> USS needs to divest now</w:t>
      </w:r>
      <w:r w:rsidR="007E6246">
        <w:rPr>
          <w:rStyle w:val="FootnoteReference"/>
          <w:sz w:val="20"/>
          <w:szCs w:val="20"/>
        </w:rPr>
        <w:footnoteReference w:id="1"/>
      </w:r>
      <w:proofErr w:type="gramStart"/>
      <w:r>
        <w:rPr>
          <w:sz w:val="20"/>
          <w:szCs w:val="20"/>
          <w:vertAlign w:val="superscript"/>
        </w:rPr>
        <w:t>,</w:t>
      </w:r>
      <w:r w:rsidR="0002499F">
        <w:rPr>
          <w:rStyle w:val="FootnoteReference"/>
          <w:sz w:val="20"/>
          <w:szCs w:val="20"/>
        </w:rPr>
        <w:footnoteReference w:id="2"/>
      </w:r>
      <w:r w:rsidR="00674FEE" w:rsidRPr="00674FEE">
        <w:rPr>
          <w:sz w:val="20"/>
          <w:szCs w:val="20"/>
        </w:rPr>
        <w:t>.</w:t>
      </w:r>
      <w:proofErr w:type="gramEnd"/>
    </w:p>
    <w:p w14:paraId="00000008" w14:textId="77777777" w:rsidR="00184869" w:rsidRDefault="00184869" w:rsidP="0002499F">
      <w:pPr>
        <w:spacing w:line="240" w:lineRule="auto"/>
        <w:rPr>
          <w:sz w:val="20"/>
          <w:szCs w:val="20"/>
        </w:rPr>
      </w:pPr>
    </w:p>
    <w:p w14:paraId="00000009" w14:textId="77777777" w:rsidR="00184869" w:rsidRDefault="000005E5" w:rsidP="0002499F">
      <w:pPr>
        <w:rPr>
          <w:sz w:val="20"/>
          <w:szCs w:val="20"/>
        </w:rPr>
      </w:pPr>
      <w:r>
        <w:rPr>
          <w:sz w:val="20"/>
          <w:szCs w:val="20"/>
        </w:rPr>
        <w:t>Today, following years of work from students and university staff, more than 100 universities have taken the bold and welcome step to divest their endowments from fossil fuels in some form</w:t>
      </w:r>
      <w:r>
        <w:rPr>
          <w:sz w:val="20"/>
          <w:szCs w:val="20"/>
          <w:vertAlign w:val="superscript"/>
        </w:rPr>
        <w:footnoteReference w:id="3"/>
      </w:r>
      <w:r>
        <w:rPr>
          <w:sz w:val="20"/>
          <w:szCs w:val="20"/>
          <w:highlight w:val="yellow"/>
        </w:rPr>
        <w:t>, including our own</w:t>
      </w:r>
      <w:r>
        <w:rPr>
          <w:sz w:val="20"/>
          <w:szCs w:val="20"/>
        </w:rPr>
        <w:t xml:space="preserve">. However, many are not aware that USS and other pension schemes which serve our universities continue to invest in fossil fuels, and that student fees fund the staff pensions paid into them, going against the spirit of </w:t>
      </w:r>
      <w:r>
        <w:rPr>
          <w:sz w:val="20"/>
          <w:szCs w:val="20"/>
          <w:highlight w:val="yellow"/>
        </w:rPr>
        <w:t>our [if removing, replace with: UK universities’]</w:t>
      </w:r>
      <w:r>
        <w:rPr>
          <w:sz w:val="20"/>
          <w:szCs w:val="20"/>
        </w:rPr>
        <w:t xml:space="preserve"> commitment to divestment. </w:t>
      </w:r>
    </w:p>
    <w:p w14:paraId="0000000A" w14:textId="77777777" w:rsidR="00184869" w:rsidRDefault="00184869" w:rsidP="0002499F">
      <w:pPr>
        <w:spacing w:line="240" w:lineRule="auto"/>
        <w:rPr>
          <w:sz w:val="20"/>
          <w:szCs w:val="20"/>
        </w:rPr>
      </w:pPr>
    </w:p>
    <w:p w14:paraId="0000000B" w14:textId="2794F4E0" w:rsidR="00184869" w:rsidRDefault="000005E5" w:rsidP="0002499F">
      <w:pPr>
        <w:rPr>
          <w:sz w:val="20"/>
          <w:szCs w:val="20"/>
        </w:rPr>
      </w:pPr>
      <w:r>
        <w:rPr>
          <w:sz w:val="20"/>
          <w:szCs w:val="20"/>
        </w:rPr>
        <w:t>The moral and financial case for divestment from fossil fuels is well documented. 129 of the 1000 largest European pension funds have divested from fossil fuels</w:t>
      </w:r>
      <w:r>
        <w:rPr>
          <w:sz w:val="20"/>
          <w:szCs w:val="20"/>
          <w:vertAlign w:val="superscript"/>
        </w:rPr>
        <w:footnoteReference w:id="4"/>
      </w:r>
      <w:r>
        <w:rPr>
          <w:sz w:val="20"/>
          <w:szCs w:val="20"/>
        </w:rPr>
        <w:t>, such as ABP, a Dutch public sector fund with €528 bn total assets, who stated that “the fund does not expect this decision to have a negative impact on long-term returns”</w:t>
      </w:r>
      <w:r>
        <w:rPr>
          <w:sz w:val="20"/>
          <w:szCs w:val="20"/>
          <w:vertAlign w:val="superscript"/>
        </w:rPr>
        <w:footnoteReference w:id="5"/>
      </w:r>
      <w:r>
        <w:rPr>
          <w:sz w:val="20"/>
          <w:szCs w:val="20"/>
        </w:rPr>
        <w:t xml:space="preserve">. The Bank of England hosts a report produced by the University of Groningen stating that </w:t>
      </w:r>
      <w:r>
        <w:rPr>
          <w:sz w:val="20"/>
          <w:szCs w:val="20"/>
          <w:highlight w:val="white"/>
        </w:rPr>
        <w:t>“divesting from fossil fuels does not have a statistically significant impact on overall portfolio performance”</w:t>
      </w:r>
      <w:r>
        <w:rPr>
          <w:sz w:val="20"/>
          <w:szCs w:val="20"/>
          <w:highlight w:val="white"/>
          <w:vertAlign w:val="superscript"/>
        </w:rPr>
        <w:footnoteReference w:id="6"/>
      </w:r>
      <w:r>
        <w:rPr>
          <w:sz w:val="20"/>
          <w:szCs w:val="20"/>
          <w:highlight w:val="white"/>
        </w:rPr>
        <w:t xml:space="preserve">. This report for the University of Cambridge agrees - “there is little evidence to suggest that a global portfolio invested to exclude fossil fuels would underperform </w:t>
      </w:r>
      <w:proofErr w:type="gramStart"/>
      <w:r>
        <w:rPr>
          <w:sz w:val="20"/>
          <w:szCs w:val="20"/>
          <w:highlight w:val="white"/>
        </w:rPr>
        <w:t>one</w:t>
      </w:r>
      <w:proofErr w:type="gramEnd"/>
      <w:r>
        <w:rPr>
          <w:sz w:val="20"/>
          <w:szCs w:val="20"/>
          <w:highlight w:val="white"/>
        </w:rPr>
        <w:t xml:space="preserve"> that included them and such a portfolio might avoid the volatility that is likely to affect the fossil fuel sector in the coming years”</w:t>
      </w:r>
      <w:r>
        <w:rPr>
          <w:sz w:val="20"/>
          <w:szCs w:val="20"/>
          <w:highlight w:val="white"/>
          <w:vertAlign w:val="superscript"/>
        </w:rPr>
        <w:footnoteReference w:id="7"/>
      </w:r>
      <w:r w:rsidR="001C48F5">
        <w:rPr>
          <w:sz w:val="20"/>
          <w:szCs w:val="20"/>
        </w:rPr>
        <w:t>.</w:t>
      </w:r>
    </w:p>
    <w:p w14:paraId="0000000C" w14:textId="77777777" w:rsidR="00184869" w:rsidRDefault="00184869" w:rsidP="0002499F">
      <w:pPr>
        <w:spacing w:line="240" w:lineRule="auto"/>
        <w:rPr>
          <w:sz w:val="20"/>
          <w:szCs w:val="20"/>
        </w:rPr>
      </w:pPr>
    </w:p>
    <w:p w14:paraId="0000000D" w14:textId="77777777" w:rsidR="00184869" w:rsidRDefault="000005E5" w:rsidP="0002499F">
      <w:pPr>
        <w:rPr>
          <w:sz w:val="20"/>
          <w:szCs w:val="20"/>
        </w:rPr>
      </w:pPr>
      <w:r>
        <w:rPr>
          <w:sz w:val="20"/>
          <w:szCs w:val="20"/>
        </w:rPr>
        <w:t xml:space="preserve">It is time that USS divests from fossil fuels, and we can lead on the call for them to do so.  </w:t>
      </w:r>
    </w:p>
    <w:p w14:paraId="0000000E" w14:textId="77777777" w:rsidR="00184869" w:rsidRDefault="00184869" w:rsidP="0002499F">
      <w:pPr>
        <w:spacing w:line="240" w:lineRule="auto"/>
        <w:rPr>
          <w:sz w:val="20"/>
          <w:szCs w:val="20"/>
        </w:rPr>
      </w:pPr>
    </w:p>
    <w:p w14:paraId="00000010" w14:textId="1882EBDA" w:rsidR="00184869" w:rsidRDefault="000005E5" w:rsidP="0002499F">
      <w:pPr>
        <w:rPr>
          <w:sz w:val="20"/>
          <w:szCs w:val="20"/>
        </w:rPr>
      </w:pPr>
      <w:r>
        <w:rPr>
          <w:sz w:val="20"/>
          <w:szCs w:val="20"/>
          <w:highlight w:val="yellow"/>
        </w:rPr>
        <w:t>The Students' Union</w:t>
      </w:r>
      <w:r>
        <w:rPr>
          <w:sz w:val="20"/>
          <w:szCs w:val="20"/>
        </w:rPr>
        <w:t xml:space="preserve"> invites</w:t>
      </w:r>
      <w:r>
        <w:rPr>
          <w:sz w:val="20"/>
          <w:szCs w:val="20"/>
          <w:highlight w:val="yellow"/>
        </w:rPr>
        <w:t xml:space="preserve"> the committee</w:t>
      </w:r>
      <w:r>
        <w:rPr>
          <w:sz w:val="20"/>
          <w:szCs w:val="20"/>
        </w:rPr>
        <w:t xml:space="preserve"> to:</w:t>
      </w:r>
    </w:p>
    <w:p w14:paraId="00000011" w14:textId="77777777" w:rsidR="00184869" w:rsidRDefault="000005E5" w:rsidP="0002499F">
      <w:pPr>
        <w:numPr>
          <w:ilvl w:val="0"/>
          <w:numId w:val="1"/>
        </w:numPr>
        <w:rPr>
          <w:sz w:val="20"/>
          <w:szCs w:val="20"/>
        </w:rPr>
      </w:pPr>
      <w:bookmarkStart w:id="0" w:name="_GoBack"/>
      <w:r>
        <w:rPr>
          <w:sz w:val="20"/>
          <w:szCs w:val="20"/>
        </w:rPr>
        <w:t>Discuss the report and its contents;</w:t>
      </w:r>
    </w:p>
    <w:p w14:paraId="239E624B" w14:textId="77777777" w:rsidR="0002499F" w:rsidRDefault="000005E5" w:rsidP="001C7A90">
      <w:pPr>
        <w:numPr>
          <w:ilvl w:val="0"/>
          <w:numId w:val="1"/>
        </w:numPr>
        <w:rPr>
          <w:sz w:val="20"/>
          <w:szCs w:val="20"/>
        </w:rPr>
      </w:pPr>
      <w:r>
        <w:rPr>
          <w:sz w:val="20"/>
          <w:szCs w:val="20"/>
        </w:rPr>
        <w:t xml:space="preserve">Agree to the development of a response to the report with the aim of raising our concerns with USS and publicising to the university community our stance and the report itself, to be worked on collaboratively by the </w:t>
      </w:r>
      <w:r>
        <w:rPr>
          <w:sz w:val="20"/>
          <w:szCs w:val="20"/>
          <w:highlight w:val="yellow"/>
        </w:rPr>
        <w:t>Finance Team, the Students' Union,</w:t>
      </w:r>
      <w:r>
        <w:rPr>
          <w:sz w:val="20"/>
          <w:szCs w:val="20"/>
        </w:rPr>
        <w:t xml:space="preserve"> and any other interested members of </w:t>
      </w:r>
      <w:r>
        <w:rPr>
          <w:sz w:val="20"/>
          <w:szCs w:val="20"/>
          <w:highlight w:val="yellow"/>
        </w:rPr>
        <w:t>the committee;</w:t>
      </w:r>
    </w:p>
    <w:p w14:paraId="00000013" w14:textId="5BC80616" w:rsidR="00184869" w:rsidRPr="0002499F" w:rsidRDefault="000005E5" w:rsidP="001C7A90">
      <w:pPr>
        <w:numPr>
          <w:ilvl w:val="0"/>
          <w:numId w:val="1"/>
        </w:numPr>
        <w:rPr>
          <w:sz w:val="20"/>
          <w:szCs w:val="20"/>
        </w:rPr>
      </w:pPr>
      <w:r w:rsidRPr="0002499F">
        <w:rPr>
          <w:sz w:val="20"/>
          <w:szCs w:val="20"/>
        </w:rPr>
        <w:t>Create a plan of action on further steps to ensure the issue continues to be addressed once our response is produced.</w:t>
      </w:r>
      <w:bookmarkEnd w:id="0"/>
    </w:p>
    <w:sectPr w:rsidR="00184869" w:rsidRPr="0002499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F2671" w14:textId="77777777" w:rsidR="00071AA0" w:rsidRDefault="00071AA0">
      <w:pPr>
        <w:spacing w:line="240" w:lineRule="auto"/>
      </w:pPr>
      <w:r>
        <w:separator/>
      </w:r>
    </w:p>
  </w:endnote>
  <w:endnote w:type="continuationSeparator" w:id="0">
    <w:p w14:paraId="5A61E674" w14:textId="77777777" w:rsidR="00071AA0" w:rsidRDefault="00071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SemiBold">
    <w:altName w:val="Oswald SemiBold"/>
    <w:panose1 w:val="00000700000000000000"/>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C0F84" w14:textId="77777777" w:rsidR="00071AA0" w:rsidRDefault="00071AA0">
      <w:pPr>
        <w:spacing w:line="240" w:lineRule="auto"/>
      </w:pPr>
      <w:r>
        <w:separator/>
      </w:r>
    </w:p>
  </w:footnote>
  <w:footnote w:type="continuationSeparator" w:id="0">
    <w:p w14:paraId="51D5634D" w14:textId="77777777" w:rsidR="00071AA0" w:rsidRDefault="00071AA0">
      <w:pPr>
        <w:spacing w:line="240" w:lineRule="auto"/>
      </w:pPr>
      <w:r>
        <w:continuationSeparator/>
      </w:r>
    </w:p>
  </w:footnote>
  <w:footnote w:id="1">
    <w:p w14:paraId="2B26AFA5" w14:textId="16FDF2CF" w:rsidR="007E6246" w:rsidRPr="001C7A90" w:rsidRDefault="007E6246">
      <w:pPr>
        <w:pStyle w:val="FootnoteText"/>
        <w:rPr>
          <w:sz w:val="16"/>
          <w:szCs w:val="16"/>
        </w:rPr>
      </w:pPr>
      <w:r w:rsidRPr="001C7A90">
        <w:rPr>
          <w:rStyle w:val="FootnoteReference"/>
          <w:sz w:val="16"/>
          <w:szCs w:val="16"/>
        </w:rPr>
        <w:footnoteRef/>
      </w:r>
      <w:r w:rsidRPr="001C7A90">
        <w:rPr>
          <w:sz w:val="16"/>
          <w:szCs w:val="16"/>
        </w:rPr>
        <w:t xml:space="preserve"> </w:t>
      </w:r>
      <w:r w:rsidR="007116ED">
        <w:rPr>
          <w:sz w:val="16"/>
          <w:szCs w:val="16"/>
        </w:rPr>
        <w:t xml:space="preserve">Quigley, June 2021, </w:t>
      </w:r>
      <w:hyperlink r:id="rId1" w:history="1">
        <w:r w:rsidR="001C7A90" w:rsidRPr="001C7A90">
          <w:rPr>
            <w:rStyle w:val="Hyperlink"/>
            <w:i/>
            <w:iCs/>
            <w:sz w:val="16"/>
            <w:szCs w:val="16"/>
          </w:rPr>
          <w:t>Stock picking for humanity</w:t>
        </w:r>
      </w:hyperlink>
      <w:r w:rsidR="001C7A90" w:rsidRPr="001C7A90">
        <w:rPr>
          <w:sz w:val="16"/>
          <w:szCs w:val="16"/>
        </w:rPr>
        <w:t xml:space="preserve"> </w:t>
      </w:r>
    </w:p>
  </w:footnote>
  <w:footnote w:id="2">
    <w:p w14:paraId="3D676010" w14:textId="3AFD7368" w:rsidR="0002499F" w:rsidRPr="0002499F" w:rsidRDefault="0002499F">
      <w:pPr>
        <w:pStyle w:val="FootnoteText"/>
      </w:pPr>
      <w:r w:rsidRPr="0002499F">
        <w:rPr>
          <w:rStyle w:val="FootnoteReference"/>
          <w:sz w:val="16"/>
          <w:szCs w:val="16"/>
        </w:rPr>
        <w:footnoteRef/>
      </w:r>
      <w:r w:rsidRPr="0002499F">
        <w:rPr>
          <w:sz w:val="16"/>
          <w:szCs w:val="16"/>
        </w:rPr>
        <w:t xml:space="preserve"> </w:t>
      </w:r>
      <w:r w:rsidR="00BB41C6">
        <w:rPr>
          <w:sz w:val="16"/>
          <w:szCs w:val="16"/>
        </w:rPr>
        <w:t xml:space="preserve">Rathbones Group, </w:t>
      </w:r>
      <w:r w:rsidR="007B6A08">
        <w:rPr>
          <w:sz w:val="16"/>
          <w:szCs w:val="16"/>
        </w:rPr>
        <w:t xml:space="preserve">December 2022, </w:t>
      </w:r>
      <w:hyperlink r:id="rId2" w:history="1">
        <w:r w:rsidR="00BB41C6" w:rsidRPr="00BB41C6">
          <w:rPr>
            <w:rStyle w:val="Hyperlink"/>
            <w:rFonts w:eastAsia="Times New Roman"/>
            <w:i/>
            <w:iCs/>
            <w:sz w:val="16"/>
            <w:szCs w:val="16"/>
          </w:rPr>
          <w:t>Votes Against Slavery</w:t>
        </w:r>
      </w:hyperlink>
    </w:p>
  </w:footnote>
  <w:footnote w:id="3">
    <w:p w14:paraId="00000014" w14:textId="77777777" w:rsidR="00184869" w:rsidRDefault="000005E5">
      <w:pPr>
        <w:spacing w:line="240" w:lineRule="auto"/>
        <w:rPr>
          <w:i/>
          <w:sz w:val="16"/>
          <w:szCs w:val="16"/>
        </w:rPr>
      </w:pPr>
      <w:r w:rsidRPr="001C7A90">
        <w:rPr>
          <w:sz w:val="16"/>
          <w:szCs w:val="16"/>
          <w:vertAlign w:val="superscript"/>
        </w:rPr>
        <w:footnoteRef/>
      </w:r>
      <w:r w:rsidRPr="001C7A90">
        <w:rPr>
          <w:sz w:val="16"/>
          <w:szCs w:val="16"/>
        </w:rPr>
        <w:t xml:space="preserve"> </w:t>
      </w:r>
      <w:r>
        <w:rPr>
          <w:sz w:val="16"/>
          <w:szCs w:val="16"/>
        </w:rPr>
        <w:t xml:space="preserve">People &amp; Planet, August 2022, </w:t>
      </w:r>
      <w:hyperlink r:id="rId3">
        <w:r>
          <w:rPr>
            <w:i/>
            <w:color w:val="1155CC"/>
            <w:sz w:val="16"/>
            <w:szCs w:val="16"/>
            <w:u w:val="single"/>
          </w:rPr>
          <w:t>Universities committed to pursuing fossil fuel divestment</w:t>
        </w:r>
      </w:hyperlink>
    </w:p>
  </w:footnote>
  <w:footnote w:id="4">
    <w:p w14:paraId="00000016" w14:textId="77777777" w:rsidR="00184869" w:rsidRDefault="000005E5">
      <w:pPr>
        <w:spacing w:line="240" w:lineRule="auto"/>
        <w:rPr>
          <w:i/>
          <w:sz w:val="16"/>
          <w:szCs w:val="16"/>
        </w:rPr>
      </w:pPr>
      <w:r w:rsidRPr="001C7A90">
        <w:rPr>
          <w:sz w:val="16"/>
          <w:szCs w:val="16"/>
          <w:vertAlign w:val="superscript"/>
        </w:rPr>
        <w:footnoteRef/>
      </w:r>
      <w:r>
        <w:rPr>
          <w:sz w:val="16"/>
          <w:szCs w:val="16"/>
        </w:rPr>
        <w:t xml:space="preserve"> </w:t>
      </w:r>
      <w:proofErr w:type="spellStart"/>
      <w:r>
        <w:rPr>
          <w:sz w:val="16"/>
          <w:szCs w:val="16"/>
        </w:rPr>
        <w:t>Egli</w:t>
      </w:r>
      <w:proofErr w:type="spellEnd"/>
      <w:r>
        <w:rPr>
          <w:sz w:val="16"/>
          <w:szCs w:val="16"/>
        </w:rPr>
        <w:t xml:space="preserve"> et al., January 2022, </w:t>
      </w:r>
      <w:hyperlink r:id="rId4">
        <w:r>
          <w:rPr>
            <w:i/>
            <w:color w:val="1155CC"/>
            <w:sz w:val="16"/>
            <w:szCs w:val="16"/>
            <w:u w:val="single"/>
          </w:rPr>
          <w:t>Determinants of fossil fuel divestment in European pension funds</w:t>
        </w:r>
      </w:hyperlink>
    </w:p>
  </w:footnote>
  <w:footnote w:id="5">
    <w:p w14:paraId="00000015" w14:textId="77777777" w:rsidR="00184869" w:rsidRDefault="000005E5">
      <w:pPr>
        <w:spacing w:line="240" w:lineRule="auto"/>
        <w:rPr>
          <w:i/>
          <w:sz w:val="16"/>
          <w:szCs w:val="16"/>
        </w:rPr>
      </w:pPr>
      <w:r w:rsidRPr="001C7A90">
        <w:rPr>
          <w:sz w:val="16"/>
          <w:szCs w:val="16"/>
          <w:vertAlign w:val="superscript"/>
        </w:rPr>
        <w:footnoteRef/>
      </w:r>
      <w:r>
        <w:rPr>
          <w:sz w:val="16"/>
          <w:szCs w:val="16"/>
        </w:rPr>
        <w:t xml:space="preserve"> ABP, 26 October 2021,</w:t>
      </w:r>
      <w:r>
        <w:rPr>
          <w:i/>
          <w:sz w:val="16"/>
          <w:szCs w:val="16"/>
        </w:rPr>
        <w:t xml:space="preserve"> </w:t>
      </w:r>
      <w:hyperlink r:id="rId5">
        <w:r>
          <w:rPr>
            <w:i/>
            <w:color w:val="1155CC"/>
            <w:sz w:val="16"/>
            <w:szCs w:val="16"/>
            <w:u w:val="single"/>
          </w:rPr>
          <w:t>ABP stops investing in fossil fuel producers</w:t>
        </w:r>
      </w:hyperlink>
      <w:r>
        <w:rPr>
          <w:sz w:val="16"/>
          <w:szCs w:val="16"/>
        </w:rPr>
        <w:br/>
        <w:t xml:space="preserve">  The Guardian, 26 October 2021, </w:t>
      </w:r>
      <w:hyperlink r:id="rId6">
        <w:r>
          <w:rPr>
            <w:i/>
            <w:color w:val="1155CC"/>
            <w:sz w:val="16"/>
            <w:szCs w:val="16"/>
            <w:u w:val="single"/>
          </w:rPr>
          <w:t>One of world’s biggest pension funds to stop investing in fossil fuels</w:t>
        </w:r>
      </w:hyperlink>
    </w:p>
  </w:footnote>
  <w:footnote w:id="6">
    <w:p w14:paraId="00000017" w14:textId="4A65B819" w:rsidR="00184869" w:rsidRDefault="000005E5">
      <w:pPr>
        <w:spacing w:line="240" w:lineRule="auto"/>
        <w:rPr>
          <w:i/>
          <w:sz w:val="16"/>
          <w:szCs w:val="16"/>
        </w:rPr>
      </w:pPr>
      <w:r w:rsidRPr="001C7A90">
        <w:rPr>
          <w:sz w:val="16"/>
          <w:szCs w:val="16"/>
          <w:vertAlign w:val="superscript"/>
        </w:rPr>
        <w:footnoteRef/>
      </w:r>
      <w:r>
        <w:rPr>
          <w:sz w:val="16"/>
          <w:szCs w:val="16"/>
        </w:rPr>
        <w:t xml:space="preserve"> University of Groningen, 2016, </w:t>
      </w:r>
      <w:hyperlink r:id="rId7">
        <w:r>
          <w:rPr>
            <w:i/>
            <w:color w:val="1155CC"/>
            <w:sz w:val="16"/>
            <w:szCs w:val="16"/>
            <w:u w:val="single"/>
          </w:rPr>
          <w:t xml:space="preserve">The Financial Impact of </w:t>
        </w:r>
        <w:r w:rsidR="00B53E87">
          <w:rPr>
            <w:i/>
            <w:color w:val="1155CC"/>
            <w:sz w:val="16"/>
            <w:szCs w:val="16"/>
            <w:u w:val="single"/>
          </w:rPr>
          <w:t>Divestment</w:t>
        </w:r>
        <w:r>
          <w:rPr>
            <w:i/>
            <w:color w:val="1155CC"/>
            <w:sz w:val="16"/>
            <w:szCs w:val="16"/>
            <w:u w:val="single"/>
          </w:rPr>
          <w:t xml:space="preserve"> from Fossil Fuels</w:t>
        </w:r>
      </w:hyperlink>
    </w:p>
  </w:footnote>
  <w:footnote w:id="7">
    <w:p w14:paraId="00000018" w14:textId="77777777" w:rsidR="00184869" w:rsidRDefault="000005E5">
      <w:pPr>
        <w:spacing w:line="240" w:lineRule="auto"/>
        <w:rPr>
          <w:i/>
          <w:sz w:val="16"/>
          <w:szCs w:val="16"/>
        </w:rPr>
      </w:pPr>
      <w:r w:rsidRPr="001C7A90">
        <w:rPr>
          <w:sz w:val="16"/>
          <w:szCs w:val="16"/>
          <w:vertAlign w:val="superscript"/>
        </w:rPr>
        <w:footnoteRef/>
      </w:r>
      <w:r>
        <w:rPr>
          <w:sz w:val="16"/>
          <w:szCs w:val="16"/>
        </w:rPr>
        <w:t xml:space="preserve"> Quigley et al., 2021, </w:t>
      </w:r>
      <w:hyperlink r:id="rId8">
        <w:r>
          <w:rPr>
            <w:i/>
            <w:color w:val="1155CC"/>
            <w:sz w:val="16"/>
            <w:szCs w:val="16"/>
            <w:u w:val="single"/>
          </w:rPr>
          <w:t>Divestment: Advantages and Disadvantages for the University of Cambridge</w:t>
        </w:r>
      </w:hyperlink>
    </w:p>
    <w:p w14:paraId="00000019" w14:textId="77777777" w:rsidR="00184869" w:rsidRDefault="00184869">
      <w:pPr>
        <w:spacing w:line="240" w:lineRule="auto"/>
        <w:rPr>
          <w:sz w:val="20"/>
          <w:szCs w:val="20"/>
        </w:rPr>
      </w:pPr>
    </w:p>
    <w:p w14:paraId="0000001A" w14:textId="77777777" w:rsidR="00184869" w:rsidRDefault="00184869">
      <w:pPr>
        <w:spacing w:line="240" w:lineRule="auto"/>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A51C48"/>
    <w:multiLevelType w:val="multilevel"/>
    <w:tmpl w:val="56045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69"/>
    <w:rsid w:val="000005E5"/>
    <w:rsid w:val="0002499F"/>
    <w:rsid w:val="00071AA0"/>
    <w:rsid w:val="00184869"/>
    <w:rsid w:val="001C48F5"/>
    <w:rsid w:val="001C7A90"/>
    <w:rsid w:val="00674FEE"/>
    <w:rsid w:val="007116ED"/>
    <w:rsid w:val="007B6A08"/>
    <w:rsid w:val="007E6246"/>
    <w:rsid w:val="00B53E87"/>
    <w:rsid w:val="00BB41C6"/>
    <w:rsid w:val="00E46BD0"/>
    <w:rsid w:val="00E74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2224"/>
  <w15:docId w15:val="{AFC0D29B-A13E-43A3-A2E5-DCC12976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7E6246"/>
    <w:pPr>
      <w:spacing w:line="240" w:lineRule="auto"/>
    </w:pPr>
    <w:rPr>
      <w:sz w:val="20"/>
      <w:szCs w:val="20"/>
    </w:rPr>
  </w:style>
  <w:style w:type="character" w:customStyle="1" w:styleId="FootnoteTextChar">
    <w:name w:val="Footnote Text Char"/>
    <w:basedOn w:val="DefaultParagraphFont"/>
    <w:link w:val="FootnoteText"/>
    <w:uiPriority w:val="99"/>
    <w:semiHidden/>
    <w:rsid w:val="007E6246"/>
    <w:rPr>
      <w:sz w:val="20"/>
      <w:szCs w:val="20"/>
    </w:rPr>
  </w:style>
  <w:style w:type="character" w:styleId="FootnoteReference">
    <w:name w:val="footnote reference"/>
    <w:basedOn w:val="DefaultParagraphFont"/>
    <w:uiPriority w:val="99"/>
    <w:semiHidden/>
    <w:unhideWhenUsed/>
    <w:rsid w:val="007E6246"/>
    <w:rPr>
      <w:vertAlign w:val="superscript"/>
    </w:rPr>
  </w:style>
  <w:style w:type="character" w:styleId="Hyperlink">
    <w:name w:val="Hyperlink"/>
    <w:basedOn w:val="DefaultParagraphFont"/>
    <w:uiPriority w:val="99"/>
    <w:unhideWhenUsed/>
    <w:rsid w:val="0002499F"/>
    <w:rPr>
      <w:color w:val="0000FF"/>
      <w:u w:val="single"/>
    </w:rPr>
  </w:style>
  <w:style w:type="character" w:customStyle="1" w:styleId="UnresolvedMention">
    <w:name w:val="Unresolved Mention"/>
    <w:basedOn w:val="DefaultParagraphFont"/>
    <w:uiPriority w:val="99"/>
    <w:semiHidden/>
    <w:unhideWhenUsed/>
    <w:rsid w:val="001C7A90"/>
    <w:rPr>
      <w:color w:val="605E5C"/>
      <w:shd w:val="clear" w:color="auto" w:fill="E1DFDD"/>
    </w:rPr>
  </w:style>
  <w:style w:type="character" w:styleId="FollowedHyperlink">
    <w:name w:val="FollowedHyperlink"/>
    <w:basedOn w:val="DefaultParagraphFont"/>
    <w:uiPriority w:val="99"/>
    <w:semiHidden/>
    <w:unhideWhenUsed/>
    <w:rsid w:val="00BB41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ivestuss.org/repo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am.ac.uk/sites/www.cam.ac.uk/files/sm6_divestment_report.pdf" TargetMode="External"/><Relationship Id="rId3" Type="http://schemas.openxmlformats.org/officeDocument/2006/relationships/hyperlink" Target="https://peopleandplanet.org/fossil-free-victories" TargetMode="External"/><Relationship Id="rId7" Type="http://schemas.openxmlformats.org/officeDocument/2006/relationships/hyperlink" Target="https://www.bankofengland.co.uk/-/media/boe/files/events/2016/november/the-financial-impact-of-divestment-from-fossil-fuels-speaker-slides" TargetMode="External"/><Relationship Id="rId2" Type="http://schemas.openxmlformats.org/officeDocument/2006/relationships/hyperlink" Target="https://www.unpri.org/the-pri-awards/votes-against-slavery/10821.article" TargetMode="External"/><Relationship Id="rId1" Type="http://schemas.openxmlformats.org/officeDocument/2006/relationships/hyperlink" Target="https://aeon.co/essays/here-are-responsible-shareholder-tactics-that-actually-work" TargetMode="External"/><Relationship Id="rId6" Type="http://schemas.openxmlformats.org/officeDocument/2006/relationships/hyperlink" Target="https://www.theguardian.com/environment/2021/oct/26/abp-pension-fund-to-stop-investing-in-fossil-fuels-amid-climate-fears" TargetMode="External"/><Relationship Id="rId5" Type="http://schemas.openxmlformats.org/officeDocument/2006/relationships/hyperlink" Target="https://www.abp.nl/english/press-releases/abp-stops-investing-in-fossil-fuel-producers.aspx" TargetMode="External"/><Relationship Id="rId4" Type="http://schemas.openxmlformats.org/officeDocument/2006/relationships/hyperlink" Target="https://www.sciencedirect.com/science/article/pii/S0921800921002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09CA8-D6FA-4BE5-AD1F-66D5C0ED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Ellie Harrison</cp:lastModifiedBy>
  <cp:revision>12</cp:revision>
  <dcterms:created xsi:type="dcterms:W3CDTF">2022-11-23T13:09:00Z</dcterms:created>
  <dcterms:modified xsi:type="dcterms:W3CDTF">2023-03-23T18:37:00Z</dcterms:modified>
</cp:coreProperties>
</file>